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51"/>
        <w:gridCol w:w="2410"/>
        <w:gridCol w:w="330"/>
        <w:gridCol w:w="1522"/>
        <w:gridCol w:w="1522"/>
        <w:gridCol w:w="970"/>
        <w:gridCol w:w="2885"/>
        <w:gridCol w:w="390"/>
      </w:tblGrid>
      <w:tr w:rsidR="00DA202B" w:rsidRPr="00DA202B" w:rsidTr="00DA202B">
        <w:trPr>
          <w:trHeight w:val="255"/>
        </w:trPr>
        <w:tc>
          <w:tcPr>
            <w:tcW w:w="851" w:type="dxa"/>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Level</w:t>
            </w:r>
          </w:p>
        </w:tc>
        <w:tc>
          <w:tcPr>
            <w:tcW w:w="2410" w:type="dxa"/>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330" w:type="dxa"/>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3044" w:type="dxa"/>
            <w:gridSpan w:val="2"/>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Kabupaten Musi Banyu Asin </w:t>
            </w:r>
          </w:p>
        </w:tc>
        <w:tc>
          <w:tcPr>
            <w:tcW w:w="970" w:type="dxa"/>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885" w:type="dxa"/>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390" w:type="dxa"/>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3261" w:type="dxa"/>
            <w:gridSpan w:val="2"/>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Komponen</w:t>
            </w:r>
          </w:p>
        </w:tc>
        <w:tc>
          <w:tcPr>
            <w:tcW w:w="330" w:type="dxa"/>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3044" w:type="dxa"/>
            <w:gridSpan w:val="2"/>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B. Kapasitas Pemerintah</w:t>
            </w:r>
          </w:p>
        </w:tc>
        <w:tc>
          <w:tcPr>
            <w:tcW w:w="970" w:type="dxa"/>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885" w:type="dxa"/>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390" w:type="dxa"/>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851" w:type="dxa"/>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2410" w:type="dxa"/>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330" w:type="dxa"/>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522" w:type="dxa"/>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522" w:type="dxa"/>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970" w:type="dxa"/>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2885" w:type="dxa"/>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390" w:type="dxa"/>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3591" w:type="dxa"/>
            <w:gridSpan w:val="3"/>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Isu dalam PGA REDD+</w:t>
            </w:r>
          </w:p>
        </w:tc>
        <w:tc>
          <w:tcPr>
            <w:tcW w:w="6899" w:type="dxa"/>
            <w:gridSpan w:val="4"/>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I. Perencanaan Kehutanan dan Tata Ruang </w:t>
            </w:r>
          </w:p>
        </w:tc>
        <w:tc>
          <w:tcPr>
            <w:tcW w:w="390" w:type="dxa"/>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405"/>
        </w:trPr>
        <w:tc>
          <w:tcPr>
            <w:tcW w:w="3261" w:type="dxa"/>
            <w:gridSpan w:val="2"/>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330" w:type="dxa"/>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7289" w:type="dxa"/>
            <w:gridSpan w:val="5"/>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DA202B" w:rsidRPr="00DA202B" w:rsidTr="00DA202B">
        <w:trPr>
          <w:trHeight w:val="255"/>
        </w:trPr>
        <w:tc>
          <w:tcPr>
            <w:tcW w:w="3261" w:type="dxa"/>
            <w:gridSpan w:val="2"/>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330" w:type="dxa"/>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w:t>
            </w:r>
          </w:p>
        </w:tc>
        <w:tc>
          <w:tcPr>
            <w:tcW w:w="6899" w:type="dxa"/>
            <w:gridSpan w:val="4"/>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390" w:type="dxa"/>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w:t>
            </w:r>
          </w:p>
        </w:tc>
      </w:tr>
    </w:tbl>
    <w:p w:rsidR="00D74DB4" w:rsidRDefault="00D74DB4"/>
    <w:tbl>
      <w:tblPr>
        <w:tblW w:w="4953" w:type="pct"/>
        <w:tblInd w:w="103" w:type="dxa"/>
        <w:tblLayout w:type="fixed"/>
        <w:tblLook w:val="04A0"/>
      </w:tblPr>
      <w:tblGrid>
        <w:gridCol w:w="714"/>
        <w:gridCol w:w="1279"/>
        <w:gridCol w:w="1608"/>
        <w:gridCol w:w="1141"/>
        <w:gridCol w:w="1784"/>
        <w:gridCol w:w="1072"/>
        <w:gridCol w:w="1905"/>
        <w:gridCol w:w="1382"/>
      </w:tblGrid>
      <w:tr w:rsidR="00DA202B" w:rsidRPr="00DA202B" w:rsidTr="00DA202B">
        <w:trPr>
          <w:trHeight w:val="51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BIa1</w:t>
            </w:r>
          </w:p>
        </w:tc>
        <w:tc>
          <w:tcPr>
            <w:tcW w:w="1279"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Latar belakang Pendidikan formal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Pada unit ini SDM ber pendidikan formal S1 Kehutanan </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76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PU</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 Sturktur Organisasi Dinas PU Ciptakarya dan Pengairan Kab.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Kurang tenaga Arsitek, Sipil, Sumber daya Air, Sanitasi, dan teknik lingkungan</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178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Bappeda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 dapat</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Di Bappeda Kab. Muba sudah ada 3 orang tenaga perencanaan kota &amp; wilayah (planologist),  Idealnya menurut himbauan lisan Kemendagri dalam satu pertemuan yang diikuti informan: di Kabupaten idealnya minimal perlu 5 tenaga planologist.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BIa2</w:t>
            </w:r>
          </w:p>
        </w:tc>
        <w:tc>
          <w:tcPr>
            <w:tcW w:w="1279"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Lama waktu kerja sebagai perencana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SDM di unit ini telah berpengalaman kerja 4 tahun, pengalam ini sudah cukup memadai bidang perencanaan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1530"/>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PU</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Struktur Organisasi Dinas PU Ciptakarya dan Pengariran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Untuk Promosi dan Mutasi jabatan tergantung pada keputusan Pimpinan atas pertimbangan Baperjakat, sehingga SDM bisa berubah posisi dan jabatan sewaktu-waktu. Pengalaman kerja ada sudah lama tapi baru di bidang tata ruang</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127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Bappeda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 dapat</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Informan telah bekerja 10 tahun di BappedaKab. Muba 8 tahun di perencanaan anggaran dan 2  tahun terakhir di Bidang Fisik, Sarana dan Prasarana (tata ruang)</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BIa3</w:t>
            </w:r>
          </w:p>
        </w:tc>
        <w:tc>
          <w:tcPr>
            <w:tcW w:w="1279"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Sertifikat perencanaan wilayah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Tidak ada SDM yang bersertifikat perencanaan wilayah, karena di dinas belum ada pelatihan bersertifikat khusus untuk perencanaan. Ada pelatihan untuk Administrasi, piminan dan bimbingan teknis tertentu. Misal ADUM, ADUMLA</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229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PU</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Nama Pegawai Dinas PU Ciptakarya dan Pengairnan kab Muba yang telah mengikuti sertifikasi PERPRES N0 54 tahun 2010 pengganti Kepress n0 80 tahun 2003;</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Yang ada sertifikasi Pengadaan barang dan Jasa. Sertifikasi Struktural seperti PIM IV; PIM III, PIM II, … Ada SDM yang baru dikirim mengikuti Pelatihan Rencana Detail Tata Ruang Kawasan dan Peraturan Zonazi di PU Ciptakarya Prov. (sedang berlangsung). Ada dokumen pegawai yang sudah mengikuti sertifikasi. Namun menurut informan ini belum cukup.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178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Bappeda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 dapat</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Informan memiliki sertifikat keahlian dari Ikatan Ahli Perencanaan (IAP) yang dikeluarkan oleh IAP  bekerjasama dengan Lembaga Pengembangan Jasa Konstruksi Nasional (LPJKN). Yang bersangkutan sesuai AD/ART berhak memakai tambahan gelar  IAP.</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630"/>
        </w:trPr>
        <w:tc>
          <w:tcPr>
            <w:tcW w:w="3601" w:type="dxa"/>
            <w:gridSpan w:val="3"/>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lastRenderedPageBreak/>
              <w:t>Indikator</w:t>
            </w: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Kepala SKPD, dan Kepala Bagian Perencanaan</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BIb1</w:t>
            </w:r>
          </w:p>
        </w:tc>
        <w:tc>
          <w:tcPr>
            <w:tcW w:w="1279"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Latar belakang Pendidikan formal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Pada unit ini SDM ber pendidikan formal S1 Kehutanan</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76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PU</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Struktur Organisasi Dinas PU Ciptakarya dan Pengariran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SDM berpendidikan S1 penglaman di perencanaan bervariasi ada yang sudah lebih dari 5 tahun ada yang baru.</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76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Bappeda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diperoleh</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Di Bappeda Kab. Muba belum ada tenaga berkualififasi Planologi sedangkan tenaga perencanaan khusus kehutanan belum ada</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BIb2</w:t>
            </w:r>
          </w:p>
        </w:tc>
        <w:tc>
          <w:tcPr>
            <w:tcW w:w="1279"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Lama waktu kerja sebagai perencana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Informan telah bekerja selama 12 tahun di perencanaan SDM</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510"/>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PU</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Struktur Organisasi Dinas PU Ciptakarya dan Pengariran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Lama waktu bekerja cukup lama ada yang lebih dari 10 tahun</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229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Bappeda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diperoleh</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Jawaban ini terkait karena tidak ada tenaga yang secara khusus berkeahlian perancangan kehutanan. Sehingga menurut informan pertanyaan ini tidak bisa dijawabnya. Jika hal yang menyangkut perencanaan di bappeda maka informan tahu. Tidak bisa dipaksakan menjawab Kenapa.  Pertanyaaan tidak cocok (tidak dapat dipakai NA)</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BIb3</w:t>
            </w:r>
          </w:p>
        </w:tc>
        <w:tc>
          <w:tcPr>
            <w:tcW w:w="1279"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Sertifikat perencanaan wilayah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Tidak ada sertifikat perencanaan khusus kehutanan.  Informan menanyakan siapakah yang dapat mengelurakan sertifikat khusus?</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76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PU</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Struktur Organisasi Dinas PU Ciptakarya dan Pengariran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Belum ada sertifikat perencanaan, yang ada sertifikat structural dan sertifikat pengadaan barang dan jasa (ada dokumen)</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1020"/>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Bappeda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diperoleh</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 xml:space="preserve">Logisnya  jika pertanyaaan BLb 1 sudah dijawab 2 maka pertanyaan ini tidak masuk akal lagi di tanyakan. Makanya informan menjawab 1.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3601" w:type="dxa"/>
            <w:gridSpan w:val="3"/>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DA202B" w:rsidRPr="00DA202B" w:rsidTr="00DA202B">
        <w:trPr>
          <w:trHeight w:val="69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single" w:sz="4" w:space="0" w:color="auto"/>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Usulan kegiatan dan DIPA pada tahun yang sama tiga tahun kebelakang,</w:t>
            </w:r>
            <w:r w:rsidRPr="00DA202B">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909"/>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BIc1</w:t>
            </w:r>
          </w:p>
        </w:tc>
        <w:tc>
          <w:tcPr>
            <w:tcW w:w="1279" w:type="dxa"/>
            <w:vMerge w:val="restart"/>
            <w:tcBorders>
              <w:top w:val="nil"/>
              <w:left w:val="single" w:sz="4" w:space="0" w:color="auto"/>
              <w:bottom w:val="single" w:sz="4" w:space="0" w:color="000000"/>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Dokumen Pelaksanaan Anggaran Satuan Kerja Perangkat Daerah </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 xml:space="preserve">Usulan yang dikabulkan sekitar 40-45 %. Dalam DPA SKPD Dinas Kehutannan di cantumkan Item anggaran yang sesuai dengan pertanyan ini yaitu; untuk: </w:t>
            </w:r>
          </w:p>
        </w:tc>
        <w:tc>
          <w:tcPr>
            <w:tcW w:w="1382" w:type="dxa"/>
            <w:tcBorders>
              <w:top w:val="nil"/>
              <w:left w:val="nil"/>
              <w:bottom w:val="single" w:sz="4" w:space="0" w:color="auto"/>
              <w:right w:val="single" w:sz="4" w:space="0" w:color="auto"/>
            </w:tcBorders>
            <w:shd w:val="clear" w:color="000000" w:fill="000000"/>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683"/>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Dinas Pertanian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 dapat</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1.       Program Pelayanan Adminsitrasi (thn 2012 Rp 924.365.00,00)</w:t>
            </w:r>
          </w:p>
        </w:tc>
        <w:tc>
          <w:tcPr>
            <w:tcW w:w="1382" w:type="dxa"/>
            <w:tcBorders>
              <w:top w:val="nil"/>
              <w:left w:val="nil"/>
              <w:bottom w:val="single" w:sz="4" w:space="0" w:color="auto"/>
              <w:right w:val="single" w:sz="4" w:space="0" w:color="auto"/>
            </w:tcBorders>
            <w:shd w:val="clear" w:color="000000" w:fill="000000"/>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85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BPN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 dapat</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2.       Program Pembinaan dan Penertiban Industri hasil hutan (th 2012  Rp 462.980.000,00)</w:t>
            </w:r>
          </w:p>
        </w:tc>
        <w:tc>
          <w:tcPr>
            <w:tcW w:w="1382" w:type="dxa"/>
            <w:tcBorders>
              <w:top w:val="nil"/>
              <w:left w:val="nil"/>
              <w:bottom w:val="single" w:sz="4" w:space="0" w:color="auto"/>
              <w:right w:val="single" w:sz="4" w:space="0" w:color="auto"/>
            </w:tcBorders>
            <w:shd w:val="clear" w:color="000000" w:fill="000000"/>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DA202B" w:rsidRPr="00DA202B" w:rsidTr="00DA202B">
        <w:trPr>
          <w:trHeight w:val="67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43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BId1</w:t>
            </w:r>
          </w:p>
        </w:tc>
        <w:tc>
          <w:tcPr>
            <w:tcW w:w="1279"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Pembagian tugas</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Belum ada SOP khusus penyelesaian Konflik, dokumen yang ada Keputusan Bupati Musi Banyu Asin no 325 tahun 2012 tentang Pembentukan tim terpadu  pemberantasan penebangan kayu secara illegal dik kawasan hutan dan peredaran hasil hutan kabupaten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Informan menjelaskan pada perlindungan hutan ada gugas tugas pencegahan, Tim terpadu penanggulangan Illegal Loging yang disahkan dengan Keputusan Bupati Musi Banyu Asin No:325 tahun 2012. Sedangkan SOP penanganan konflik dibidang perlindungan hutan tidak ada. Jika terjadi konflik maka ada tim terpadu yang akan berfungsi. Penyelesaian konflik kehutanan menjadi konsern Bupati.  </w:t>
            </w:r>
            <w:r w:rsidRPr="00DA202B">
              <w:rPr>
                <w:rFonts w:ascii="Times New Roman" w:eastAsia="Times New Roman" w:hAnsi="Times New Roman" w:cs="Times New Roman"/>
                <w:color w:val="993300"/>
                <w:sz w:val="20"/>
                <w:szCs w:val="20"/>
                <w:lang w:eastAsia="id-ID"/>
              </w:rPr>
              <w:t xml:space="preserve">Catatan Pewawancara: seharusnya jika </w:t>
            </w:r>
            <w:r w:rsidRPr="00DA202B">
              <w:rPr>
                <w:rFonts w:ascii="Times New Roman" w:eastAsia="Times New Roman" w:hAnsi="Times New Roman" w:cs="Times New Roman"/>
                <w:color w:val="000000"/>
                <w:sz w:val="20"/>
                <w:szCs w:val="20"/>
                <w:lang w:eastAsia="id-ID"/>
              </w:rPr>
              <w:t xml:space="preserve">pertanyaan ini jawaban nya tidak ada SOP, maka pertanyaan Bld2 s.d. Bld7 harus diskip. Karena jawaban informan konsiten Not Available dan tidak bisa dikategorikan tidak memadai.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BId2</w:t>
            </w:r>
          </w:p>
        </w:tc>
        <w:tc>
          <w:tcPr>
            <w:tcW w:w="1279"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Struktur Organisasi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Belum ada SOP khusus penyelesaian Konflik, dokumen yang ada Keputusan Bupati Musi Banyu Asin no 325 tahun 2012 tentang Pembentukan tim terpadu  pemberantasan penebangan kayu secara illegal dik kawasan hutan dan peredaran hasil hutan kabupaten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BId3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Tahapan pelaksanaan penyelesaian konflik</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Belum ada SOP khusus penyelesaian Konflik, dokumen yang ada Keputusan Bupati Musi Banyu Asin no 325 tahun 2012 tentang Pembentukan tim terpadu  pemberantasan penebangan kayu secara illegal dik kawasan hutan dan peredaran hasil hutan kabupaten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BId4</w:t>
            </w:r>
          </w:p>
        </w:tc>
        <w:tc>
          <w:tcPr>
            <w:tcW w:w="1279"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Keterlibatan masyarakat</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Belum ada SOP khusus penyelesaian Konflik, dokumen yang ada Keputusan Bupati Musi Banyu Asin no 325 tahun 2012 tentang Pembentukan tim terpadu  pemberantasan penebangan kayu secara illegal dik kawasan hutan dan peredaran hasil hutan kabupaten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BId5</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Mekanisme pengambilan keputusan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Belum ada SOP khusus penyelesaian Konflik, dokumen yang ada Keputusan Bupati Musi Banyu Asin no 325 tahun 2012 tentang Pembentukan tim terpadu  pemberantasan penebangan kayu secara illegal dik kawasan hutan dan peredaran hasil hutan kabupaten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BId6</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Tata waktu penyelesaian konflik</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Belum ada SOP khusus penyelesaian Konflik, dokumen yang ada Keputusan Bupati Musi Banyu Asin no 325 tahun 2012 tentang Pembentukan tim terpadu  pemberantasan penebangan kayu secara illegal dik kawasan hutan dan peredaran hasil hutan kabupaten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BId7</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Mekanisme penyampaian informasi proses dan hasil penyelesaian konflik</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Belum ada SOP khusus penyelesaian Konflik, dokumen yang ada Keputusan Bupati Musi Banyu Asin no 325 tahun 2012 tentang Pembentukan tim terpadu  pemberantasan penebangan kayu secara illegal dik kawasan hutan dan peredaran hasil hutan kabupaten MUBA</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Tidak ada SOP</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34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DA202B" w:rsidRPr="00DA202B" w:rsidTr="00DA202B">
        <w:trPr>
          <w:trHeight w:val="63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BIe1</w:t>
            </w:r>
          </w:p>
        </w:tc>
        <w:tc>
          <w:tcPr>
            <w:tcW w:w="1279"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DPRD</w:t>
            </w:r>
          </w:p>
        </w:tc>
        <w:tc>
          <w:tcPr>
            <w:tcW w:w="1784"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w:t>
            </w:r>
          </w:p>
        </w:tc>
        <w:tc>
          <w:tcPr>
            <w:tcW w:w="1072"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Informan menyebutkan 7 orang anggota DPRD kabupaten Muba di Komisi II  yang konsen memperjuangkan perencanaan wilayah yang berbasis kelestarian hutan dan berkadilan bagi masyarakat</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178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072"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Menurut informan orientasi para legislator itu temporer, sering saat pilkada sangat bersuara, setelah itu memperjuangkan kepentingan lain. Legislator yang ada terbatas pengetahuannya terhadap perencanaan wilayah berbasis kelestarian dan keadilan.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178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PU</w:t>
            </w:r>
          </w:p>
        </w:tc>
        <w:tc>
          <w:tcPr>
            <w:tcW w:w="1784"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072"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RTRW sudah dibuat oleh pemerintah yang dikoordinasi oleh Bappeda dengan melibatkan PU dan dinas dinas terkait. Sampai saat ini belum disahkan oleh legislative.  Hal ini mengindikasinya jumlah legislator yang memperjuanakan perencanaan wilayah kurang memadai</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178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LSM</w:t>
            </w:r>
          </w:p>
        </w:tc>
        <w:tc>
          <w:tcPr>
            <w:tcW w:w="1784"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072"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Dukungan secara khusus untuk program program berbasis lingkungan tidak ada, yang ada wacana dari legislataor bahwa mereka mendukung. Buktinya pernah ada desakan anggaran 2008 untuk anggaran program berbasis lingkungan sampai sekarang tidak ada relasisasinya.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178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608"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Jurnalis</w:t>
            </w:r>
          </w:p>
        </w:tc>
        <w:tc>
          <w:tcPr>
            <w:tcW w:w="1784" w:type="dxa"/>
            <w:tcBorders>
              <w:top w:val="nil"/>
              <w:left w:val="nil"/>
              <w:bottom w:val="single" w:sz="4" w:space="0" w:color="auto"/>
              <w:right w:val="single" w:sz="4" w:space="0" w:color="auto"/>
            </w:tcBorders>
            <w:shd w:val="clear" w:color="000000" w:fill="000000"/>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072" w:type="dxa"/>
            <w:tcBorders>
              <w:top w:val="nil"/>
              <w:left w:val="nil"/>
              <w:bottom w:val="single" w:sz="4" w:space="0" w:color="auto"/>
              <w:right w:val="single" w:sz="4" w:space="0" w:color="auto"/>
            </w:tcBorders>
            <w:shd w:val="clear" w:color="000000" w:fill="000000"/>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 Menurut informan pembahasan masalah perencanaan wilayah berbasis kelestarian hutan dan berkeadilan baKurang tenaga Arsitek, Sipil, Sumber daya Ai masyarakat kurang menjadi perhatian anggota DPRD</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Isu dalam PGA REDD+</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II. Pengaturan Hak  </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70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lastRenderedPageBreak/>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DA202B" w:rsidRPr="00DA202B" w:rsidTr="00DA202B">
        <w:trPr>
          <w:trHeight w:val="36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single" w:sz="4" w:space="0" w:color="auto"/>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8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BIIa1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Kondisi realisasi rencana kebutuhan SDM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rencana kebutuhan SDM sudah terpenuhi?</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Penyidik ada 3 orang</w:t>
            </w:r>
            <w:r w:rsidRPr="00DA202B">
              <w:rPr>
                <w:rFonts w:ascii="Times New Roman" w:eastAsia="Times New Roman" w:hAnsi="Times New Roman" w:cs="Times New Roman"/>
                <w:color w:val="000000"/>
                <w:sz w:val="20"/>
                <w:szCs w:val="20"/>
                <w:lang w:eastAsia="id-ID"/>
              </w:rPr>
              <w:br/>
              <w:t>Polhut 30 orang</w:t>
            </w:r>
            <w:r w:rsidRPr="00DA202B">
              <w:rPr>
                <w:rFonts w:ascii="Times New Roman" w:eastAsia="Times New Roman" w:hAnsi="Times New Roman" w:cs="Times New Roman"/>
                <w:color w:val="000000"/>
                <w:sz w:val="20"/>
                <w:szCs w:val="20"/>
                <w:lang w:eastAsia="id-ID"/>
              </w:rPr>
              <w:br/>
              <w:t>Penyidik Pegawai Negeri Sipil 3 oran Jumlah ini tidak memadai (hanya 25 % dari kebutuhan)  dan mayoritas usia mereka sudah mendekati pension maka perlu rekrtut tenaga baru.</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BIIa2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Memiliki pendidikan S1 di bidang terkait dengan kehutanan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SDM ada yang S.Hut.  Hanya belum ada untuk seksi Flora dan Fauna. Untuk kebutuhan koservasi keragaman hayati di Muba perlu ahli flora dan fauna. Muba kaya akan keanekaragaman hayati tapi tenaga khusus yang ahli ini belum ada sehinggga identifikasi dan konservasi flora dan fauna belum optimal</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BIIa3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Polht setiap tahun selalu ada penyegaran baik dari kabupaten maupun dari provinsi.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BIIa4</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Menurut informan SDM di unit ini belum ada pelatihan khusus tentang pengadministrasian hak masyarakat dan bisinis, ada pelatihan tekhnis tentang penanggulangan kebakaran hutan. Ada juga staf yang sudah mengikuti pelatihan Administrasi Umum (adum)</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73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DA202B" w:rsidRPr="00DA202B" w:rsidTr="00DA202B">
        <w:trPr>
          <w:trHeight w:val="61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25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BIIb1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Pelaksanaan Anggaran  Satuan Kerja Perangkat Daerah Dinas Kehutanan Kabupaten Musi Banyuasin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Usulan yang dikabulkan sekitar 40-45 %. Dalam DPA SKPD Dinas Kehutannan di cantumkan Item anggaran yang sesuai dengan pertanyan ini yaitu; untuk: </w:t>
            </w:r>
            <w:r w:rsidRPr="00DA202B">
              <w:rPr>
                <w:rFonts w:ascii="Times New Roman" w:eastAsia="Times New Roman" w:hAnsi="Times New Roman" w:cs="Times New Roman"/>
                <w:color w:val="000000"/>
                <w:sz w:val="20"/>
                <w:szCs w:val="20"/>
                <w:lang w:eastAsia="id-ID"/>
              </w:rPr>
              <w:br/>
              <w:t>1. Program Pelayanan Adminsitrasi (thn 2012 Rp 924.365.00,00)</w:t>
            </w:r>
            <w:r w:rsidRPr="00DA202B">
              <w:rPr>
                <w:rFonts w:ascii="Times New Roman" w:eastAsia="Times New Roman" w:hAnsi="Times New Roman" w:cs="Times New Roman"/>
                <w:color w:val="000000"/>
                <w:sz w:val="20"/>
                <w:szCs w:val="20"/>
                <w:lang w:eastAsia="id-ID"/>
              </w:rPr>
              <w:br/>
              <w:t>2. Program Pembinaan dan Penertiban Industri hasil hutan (th 2012  Rp 462.980.000,00)</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64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DA202B" w:rsidRPr="00DA202B" w:rsidTr="00DA202B">
        <w:trPr>
          <w:trHeight w:val="48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single" w:sz="4" w:space="0" w:color="auto"/>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33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BIIc1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Komponen Mekanisme-1: Pembagian tugas &amp; tanggung jawab setiap pihak</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Keputusan Bupati Musi Banyuasin No325 tahun 2012 tentang Pembentukan Tim Terpadu Pemberantasan Penebangan Kayu secara Illegal di Kawasan Hutan dan Peredaran Hasil Hutan di Kabupaten Musibanyuasin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Dalam pembagian tugas dan tanggung jawab ada yang sifatnya tetap yang di tetapkan dengan SK seperti SK Bupati Musi Banyu Asin No 325 tahun 2012 tentang Pembentukan Tim terpadu Pemberantasan Penebangana Kayu secara Illegal.  Ada juga yang ditentukan dalam rapat-rapat koordinasi atau briefing dengan kepala dinas.  Dan ada yang ditetepkan dengan surat tugas. Pembagian ini disesuaikan dengan  tugas yang diberikan.</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BIIc2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Komponen Mekanisme-2: Tahapan pelaksanaan kerjasama</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Keputusan Bupati Musi Banyuasin No325 tahun 2012 tentang Pembentukan Tim Terpadu Pemberantasan Penebangan Kayu secara Illegal di Kawasan Hutan dan Peredaran Hasil Hutan di Kabupaten Musibanyuasin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Cukup Memadai karena sudah  ada acuan dalam pelaksanaan dan acuan ini digunakan, seperti SK bupati, surat tugas kepala dinas.</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BIIc3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Komponen Mekanisme-3: Mekanisme pengambilan keputusan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Mekanisme pengambilan keputus-an dalam kerjasama antara unit?</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Keputusan Bupati Musi Banyuasin No325 tahun 2012 tentang Pembentukan Tim Terpadu Pemberantasan Penebangan Kayu secara Illegal di Kawasan Hutan dan Peredaran Hasil Hutan di Kabupaten Musibanyuasin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Pengambilan keputusan memeprhatikan  masukkan dari berbagai unit terkait.</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5</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BIIc4</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Komponen Mekanisme-4: </w:t>
            </w:r>
            <w:r w:rsidRPr="00DA202B">
              <w:rPr>
                <w:rFonts w:ascii="Times New Roman" w:eastAsia="Times New Roman" w:hAnsi="Times New Roman" w:cs="Times New Roman"/>
                <w:color w:val="000000"/>
                <w:sz w:val="20"/>
                <w:szCs w:val="20"/>
                <w:lang w:eastAsia="id-ID"/>
              </w:rPr>
              <w:br/>
              <w:t>Tata waktu pelaksanaan kerjasama</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Tata waktu pelaksanaan kerjasama dalam mekanisme kerjasama antara unit?</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Keputusan Bupati Musi Banyuasin No325 tahun 2012 tentang Pembentukan Tim Terpadu Pemberantasan Penebangan Kayu secara Illegal di Kawasan Hutan </w:t>
            </w:r>
            <w:r w:rsidRPr="00DA202B">
              <w:rPr>
                <w:rFonts w:ascii="Times New Roman" w:eastAsia="Times New Roman" w:hAnsi="Times New Roman" w:cs="Times New Roman"/>
                <w:color w:val="000000"/>
                <w:sz w:val="20"/>
                <w:szCs w:val="20"/>
                <w:lang w:eastAsia="id-ID"/>
              </w:rPr>
              <w:lastRenderedPageBreak/>
              <w:t>dan Peredaran Hasil Hutan di Kabupaten Musibanyuasin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Pengambilan keputusan memeprhatikan  masukkan dari berbagai unit terkait.</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BIIc5</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Komponen Mekanisme-5: Mekanisme pelaporan hasil pelaksanaan kerjasama</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Mekanisme pelaporan hasil pelak-sanaan kerjasama dalam kerjasa-ma antara unit?</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Keputusan Bupati Musi Banyuasin No325 tahun 2012 tentang Pembentukan Tim Terpadu Pemberantasan Penebangan Kayu secara Illegal di Kawasan Hutan dan Peredaran Hasil Hutan di Kabupaten Musibanyuasin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Laporan urgen bisa via telpon/lisan  dan ditindaklanjuti dengan laporan tertulis, respon laporan tergantung urgen dan mendesaknya permasalahan.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5</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39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DA202B" w:rsidRPr="00DA202B" w:rsidTr="00DA202B">
        <w:trPr>
          <w:trHeight w:val="40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single" w:sz="4" w:space="0" w:color="auto"/>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BIId1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Kondisi realisasi rencana kebutuhan SDM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rencana kebutuhan SDM sudah terpenuhi?</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Polhut rata-rata berumur 50 tahun dan belum ada rekrut baru. Batas Usia  PNS menurut PP No 32/1979 adala 56 tahun. Artinya banyak Polhut di Muba yang akan memasuki masa persiapan pension dalam kurun waktu 4-5 tahun lagi. Untuk itu perlu rekrutmen Polhut. Kewenangan rekrutmen bukan pada informan</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BIId2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Memiliki pendidikan S1 di bidang terkait dengan kehutanan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 xml:space="preserve">SDM yang terkait dengan Perlindungan dan Pengamanan Hutan berpendidikan: S Hut 1 orang. 5 orang Polisi kehutanan yang berpendidikan SH; . 1(satu) orang  Berpendidikan MM, dan 1 (satu) orang  berpendidikan M.Si. selebihnya Pendidikan Sekolah Kehutanan Menegah </w:t>
            </w:r>
            <w:r w:rsidRPr="00DA202B">
              <w:rPr>
                <w:rFonts w:ascii="Times New Roman" w:eastAsia="Times New Roman" w:hAnsi="Times New Roman" w:cs="Times New Roman"/>
                <w:sz w:val="20"/>
                <w:szCs w:val="20"/>
                <w:lang w:eastAsia="id-ID"/>
              </w:rPr>
              <w:lastRenderedPageBreak/>
              <w:t>Atas (sumber Dokumen Daftar Nama Pegawai Dinas Kehutanan MUBA 2012)</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3</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BIId3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Memilki sertifikat sebagai mediator dalam penanganan</w:t>
            </w:r>
            <w:r w:rsidRPr="00DA202B">
              <w:rPr>
                <w:rFonts w:ascii="Times New Roman" w:eastAsia="Times New Roman" w:hAnsi="Times New Roman" w:cs="Times New Roman"/>
                <w:color w:val="000000"/>
                <w:sz w:val="20"/>
                <w:szCs w:val="20"/>
                <w:lang w:eastAsia="id-ID"/>
              </w:rPr>
              <w:br/>
              <w:t>konflik hak atas hutan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sz w:val="20"/>
                <w:szCs w:val="20"/>
                <w:lang w:eastAsia="id-ID"/>
              </w:rPr>
            </w:pPr>
            <w:r w:rsidRPr="00DA202B">
              <w:rPr>
                <w:rFonts w:ascii="Times New Roman" w:eastAsia="Times New Roman" w:hAnsi="Times New Roman" w:cs="Times New Roman"/>
                <w:sz w:val="20"/>
                <w:szCs w:val="20"/>
                <w:lang w:eastAsia="id-ID"/>
              </w:rPr>
              <w:t xml:space="preserve">Sertifikat khusus belum ada.yang ada Ijazah sarjana Hukum. Sertifikat penyelesaian konflik belum ada.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BIId4</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SDM yang bertugas di unit ada 5 orang yang berlatar pendidikanSH dan mereka mengerti bagaimana menyelesaikan konflik sesuai aturan.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30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63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BIIe1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Pelaksanaan Anggaran  Satuan Kerja Perangkat Daerah Dinas Kehutanan Kabupaten Musi Banyuasin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Selama 1 tahun terakhir penyelesaian konflik sangat menjadi konsern Bupati  Dishut dengan dukungan Bupati dapat bekerja optimal memediasi penyelesaian konflik.  Dana yang di DIPA sama dengan usulan.</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Isu dalam PGA REDD+</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III. Pengorganisasian Hutan </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DA202B" w:rsidRPr="00DA202B" w:rsidTr="00DA202B">
        <w:trPr>
          <w:trHeight w:val="36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single" w:sz="4" w:space="0" w:color="auto"/>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 Kepala TN, BKSDA, KPH Provinsi/Kabupaten </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Panduan Analisis </w:t>
            </w:r>
            <w:r w:rsidRPr="00DA202B">
              <w:rPr>
                <w:rFonts w:ascii="Times New Roman" w:eastAsia="Times New Roman" w:hAnsi="Times New Roman" w:cs="Times New Roman"/>
                <w:b/>
                <w:bCs/>
                <w:color w:val="000000"/>
                <w:sz w:val="20"/>
                <w:szCs w:val="20"/>
                <w:lang w:eastAsia="id-ID"/>
              </w:rPr>
              <w:lastRenderedPageBreak/>
              <w:t>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lastRenderedPageBreak/>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Kategori Data </w:t>
            </w:r>
            <w:r w:rsidRPr="00DA202B">
              <w:rPr>
                <w:rFonts w:ascii="Times New Roman" w:eastAsia="Times New Roman" w:hAnsi="Times New Roman" w:cs="Times New Roman"/>
                <w:b/>
                <w:bCs/>
                <w:color w:val="000000"/>
                <w:sz w:val="20"/>
                <w:szCs w:val="20"/>
                <w:lang w:eastAsia="id-ID"/>
              </w:rPr>
              <w:lastRenderedPageBreak/>
              <w:t>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Kategori Data </w:t>
            </w:r>
            <w:r w:rsidRPr="00DA202B">
              <w:rPr>
                <w:rFonts w:ascii="Times New Roman" w:eastAsia="Times New Roman" w:hAnsi="Times New Roman" w:cs="Times New Roman"/>
                <w:b/>
                <w:bCs/>
                <w:color w:val="000000"/>
                <w:sz w:val="20"/>
                <w:szCs w:val="20"/>
                <w:lang w:eastAsia="id-ID"/>
              </w:rPr>
              <w:lastRenderedPageBreak/>
              <w:t>Wawancara</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BIIIa1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KPH</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vMerge w:val="restart"/>
            <w:tcBorders>
              <w:top w:val="nil"/>
              <w:left w:val="single" w:sz="4" w:space="0" w:color="auto"/>
              <w:bottom w:val="single" w:sz="4" w:space="0" w:color="000000"/>
              <w:right w:val="single" w:sz="4" w:space="0" w:color="auto"/>
            </w:tcBorders>
            <w:shd w:val="clear" w:color="000000" w:fill="F2DDDC"/>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KPH Musi Banyu Asin baru dibentuk.  Kepala KPH sedang terkena Musibah sehingga wawancara tidak dapat dilaksanakan </w:t>
            </w: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BIIIa2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Memiliki pendidikan S1 di bidang kehutanan atau terkait</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KPH</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BIIIa3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Pernah mendapatkan pelatihan menjadi fasilitator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KPH</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BIIIa4</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KPH</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Daftar Urut Kepangkatan Pegawai negeri sipil Dinasi Kehutanan Kab Musi Banyu Asin tahun 2012</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c>
          <w:tcPr>
            <w:tcW w:w="1905"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54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DA202B" w:rsidRPr="00DA202B" w:rsidTr="00DA202B">
        <w:trPr>
          <w:trHeight w:val="36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single" w:sz="4" w:space="0" w:color="auto"/>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 Kepala TN, BKSDA, KPH Provinsi/Kabupaten</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BIIIb1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KPH</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Pelaksanaan Anggaran  Satuan Kerja Perangkat Daerah Dinas Kehutanan Kabupaten Musi Banyuasin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000000" w:fill="F2DDDC"/>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KPH Musi Banyu Asin baru dibentuk.  Kepala KPH sedang terkena Musibah sehingga wawancara tidak dapat dilaksanakan </w:t>
            </w: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3601" w:type="dxa"/>
            <w:gridSpan w:val="3"/>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Isu dalam PGA REDD+</w:t>
            </w: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31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3997" w:type="dxa"/>
            <w:gridSpan w:val="3"/>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a. Jumlah luas kawasan hutan yang dialokasikan untuk masyarakat(?)</w:t>
            </w: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BIVa1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Jumlah luas kawasan hutan yang dialokasikan untuk masyarakat</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Berapa jumlah luas kawasan hutan yang dialokasikan untuk masyara-kat?</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Perda no 3 tahun 20004 tentang RTRW;  SK Menhut n0 789/menhut-II/2009   dan Peraturan Bupati Musi Banyu Asin no 24 tahun 2009 tetang UPTD KPHP lalan Masang mendis</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Luas dalam hektar 518.220.000 ha. Unit daerah lalan 265.953 ha. Untin empat Meranti 252267 ha,</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34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530"/>
        </w:trPr>
        <w:tc>
          <w:tcPr>
            <w:tcW w:w="714" w:type="dxa"/>
            <w:tcBorders>
              <w:top w:val="nil"/>
              <w:left w:val="single" w:sz="4" w:space="0" w:color="auto"/>
              <w:bottom w:val="single" w:sz="4" w:space="0" w:color="auto"/>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BIVb1</w:t>
            </w:r>
          </w:p>
        </w:tc>
        <w:tc>
          <w:tcPr>
            <w:tcW w:w="1279" w:type="dxa"/>
            <w:tcBorders>
              <w:top w:val="nil"/>
              <w:left w:val="single" w:sz="4" w:space="0" w:color="auto"/>
              <w:bottom w:val="single" w:sz="4" w:space="0" w:color="auto"/>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608" w:type="dxa"/>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Perda no 3 tahun 20004 tentang RTRW;  SK Menhut n0 789/menhut-II/2009   dan Peraturan Bupati Musi Banyu Asin no 24 tahun 2009 tetang UPTD KPHP lalan Masang mendis</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Menurut Informan alokasi hutan untuk masyarakat lebih kurang 39.000 Ha dari 516.000 Ha hutan yang ada. (7,56 %).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36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DA202B" w:rsidRPr="00DA202B" w:rsidTr="00DA202B">
        <w:trPr>
          <w:trHeight w:val="63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lastRenderedPageBreak/>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433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BIVc1</w:t>
            </w:r>
          </w:p>
        </w:tc>
        <w:tc>
          <w:tcPr>
            <w:tcW w:w="1279"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saja dasar pertimbangan yang digunakan dalam pemberian izin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Kehutanan</w:t>
            </w:r>
          </w:p>
        </w:tc>
        <w:tc>
          <w:tcPr>
            <w:tcW w:w="1784"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072" w:type="dxa"/>
            <w:tcBorders>
              <w:top w:val="nil"/>
              <w:left w:val="nil"/>
              <w:bottom w:val="single" w:sz="4" w:space="0" w:color="auto"/>
              <w:right w:val="single" w:sz="4" w:space="0" w:color="auto"/>
            </w:tcBorders>
            <w:shd w:val="clear" w:color="000000" w:fill="000000"/>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Pemberian izin sesuai dengan aturan yang berlaku.  Di Muba ada SOP pada kantor peyanan izin terpadu Kabupaten Musi Banyuasin.  Yang di tetapkan dengan Peraturan Bupati Musi Banyuasin  No 23 tahun 2010. 1.) Peraturan Bupati No 23 tahun 2010 tentang SOP pada kantor pelayanan perizinan terpadu kabupaten Musi Banyu Asin; 2).  Keputusan Kepala Dinas Kehutanan Kab Musi Banyuasin  No 043/Kpts/Dishut/2011 tentang Tatacara Izin Pemanfaatan Kayu Bulat/Kayu Bulat Kecil dalam jumlah terbatas dari lahan hak atau  lahan masyarakat dalam wilayah kabupaten Musi Banyuasin</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Isu dalam PGA REDD+</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V. Pengendalian dan Penegakan Hukum  </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Pimpinan KPH Provinsi/Kabupaten </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BVa1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Kinerja KPH dalam penerapan sistem pengendalian internal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KPH</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Perda no 3 tahun 20004 tentang RTRW;  SK Menhut n0 789/menhut-II/2009   dan Peraturan Bupati Musi Banyu Asin no 24 tahun 2009 tetang UPTD KPHP lalan Masang mendis</w:t>
            </w:r>
          </w:p>
        </w:tc>
        <w:tc>
          <w:tcPr>
            <w:tcW w:w="107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vMerge w:val="restart"/>
            <w:tcBorders>
              <w:top w:val="nil"/>
              <w:left w:val="single" w:sz="4" w:space="0" w:color="auto"/>
              <w:bottom w:val="single" w:sz="4" w:space="0" w:color="000000"/>
              <w:right w:val="single" w:sz="4" w:space="0" w:color="auto"/>
            </w:tcBorders>
            <w:shd w:val="clear" w:color="000000" w:fill="F2DDDC"/>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KPH Musi Banyu Asin baru dibentuk.  Kepala KPH sedang terkena Musibah sehingga wawancara tidak dapat dilaksanakan </w:t>
            </w: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BVa2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KPH</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Perda no 3 tahun 20004 tentang RTRW;  SK Menhut n0 789/menhut-II/2009   dan Peraturan Bupati Musi Banyu Asin no 24 tahun 2009 tetang UPTD KPHP lalan Masang mendis</w:t>
            </w:r>
          </w:p>
        </w:tc>
        <w:tc>
          <w:tcPr>
            <w:tcW w:w="107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Bagian kepegawaian Polda/Polres/Polresta</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BVb1</w:t>
            </w:r>
          </w:p>
        </w:tc>
        <w:tc>
          <w:tcPr>
            <w:tcW w:w="1279"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608" w:type="dxa"/>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Polres</w:t>
            </w:r>
          </w:p>
        </w:tc>
        <w:tc>
          <w:tcPr>
            <w:tcW w:w="1784" w:type="dxa"/>
            <w:tcBorders>
              <w:top w:val="nil"/>
              <w:left w:val="nil"/>
              <w:bottom w:val="single" w:sz="4" w:space="0" w:color="auto"/>
              <w:right w:val="single" w:sz="4" w:space="0" w:color="auto"/>
            </w:tcBorders>
            <w:shd w:val="clear" w:color="000000" w:fill="F2DDDC"/>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Polres belum memberikan dokumen yang diminta LP3ES dengan alasan masih harus koordinasi dengan dinas instansi terkait, namun sampai saat ini Polres belum memberikan data walaupun sudah berkali-kali ditamui</w:t>
            </w:r>
          </w:p>
        </w:tc>
        <w:tc>
          <w:tcPr>
            <w:tcW w:w="107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905" w:type="dxa"/>
            <w:vMerge w:val="restart"/>
            <w:tcBorders>
              <w:top w:val="nil"/>
              <w:left w:val="single" w:sz="4" w:space="0" w:color="auto"/>
              <w:bottom w:val="single" w:sz="4" w:space="0" w:color="000000"/>
              <w:right w:val="single" w:sz="4" w:space="0" w:color="auto"/>
            </w:tcBorders>
            <w:shd w:val="clear" w:color="000000" w:fill="F2DDDC"/>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Informan belum merespon dan memberikan waktu untuk diwawancarai. Sudah didatangi dan dikonfirmasi berkali-kali sehingga Wawancara tidak dapat dilaksanakan</w:t>
            </w: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BVb2</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Sertifikat/Bukti Keikutsertaan pelatihan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Polres</w:t>
            </w:r>
          </w:p>
        </w:tc>
        <w:tc>
          <w:tcPr>
            <w:tcW w:w="1784" w:type="dxa"/>
            <w:tcBorders>
              <w:top w:val="nil"/>
              <w:left w:val="nil"/>
              <w:bottom w:val="single" w:sz="4" w:space="0" w:color="auto"/>
              <w:right w:val="single" w:sz="4" w:space="0" w:color="auto"/>
            </w:tcBorders>
            <w:shd w:val="clear" w:color="000000" w:fill="F2DDDC"/>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Polres belum memberikan dokumen yang diminta LP3ES dengan alasan masih harus koordinasi dengan dinas instansi terkait, namun sampai saat ini Polres belum memberikan data walaupun sudah berkali-kali ditamui</w:t>
            </w:r>
          </w:p>
        </w:tc>
        <w:tc>
          <w:tcPr>
            <w:tcW w:w="107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905"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BVb3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Pengalaman kerja dalam bidang yang terkait pidana kehutanan dan lingkungan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Polres</w:t>
            </w:r>
          </w:p>
        </w:tc>
        <w:tc>
          <w:tcPr>
            <w:tcW w:w="1784" w:type="dxa"/>
            <w:tcBorders>
              <w:top w:val="nil"/>
              <w:left w:val="nil"/>
              <w:bottom w:val="single" w:sz="4" w:space="0" w:color="auto"/>
              <w:right w:val="single" w:sz="4" w:space="0" w:color="auto"/>
            </w:tcBorders>
            <w:shd w:val="clear" w:color="000000" w:fill="F2DDDC"/>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Polres belum memberikan dokumen yang diminta LP3ES dengan alasan masih harus koordinasi dengan dinas instansi terkait, namun sampai saat ini Polres belum </w:t>
            </w:r>
            <w:r w:rsidRPr="00DA202B">
              <w:rPr>
                <w:rFonts w:ascii="Times New Roman" w:eastAsia="Times New Roman" w:hAnsi="Times New Roman" w:cs="Times New Roman"/>
                <w:color w:val="000000"/>
                <w:sz w:val="20"/>
                <w:szCs w:val="20"/>
                <w:lang w:eastAsia="id-ID"/>
              </w:rPr>
              <w:lastRenderedPageBreak/>
              <w:t>memberikan data walaupun sudah berkali-kali ditamui</w:t>
            </w:r>
          </w:p>
        </w:tc>
        <w:tc>
          <w:tcPr>
            <w:tcW w:w="107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 </w:t>
            </w:r>
          </w:p>
        </w:tc>
        <w:tc>
          <w:tcPr>
            <w:tcW w:w="1905"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45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Bagian kepegawaian Kejati/Kejari</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BVc1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Kejari</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 dapat</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Menurut informan hanya ada 1 orang jaksa yang ikut pelatihan tentang Illegal loging. Hal ini menunjukkan bahwa kulaifikasi jaksa dibidang kehutanan kurang memadai</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BVc2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Sertifikat/Bukti Keikutsertaan pelatihan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Kejari</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 dapat</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 orang jaksa pernah ikut pelatihan illegal loging</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BVc3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Pengalaman kerja dalam bidang yang terkait pidana kehutanan dan lingkungan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Kejari</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 dapat</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Menurut Informan dan jaksa lebih banyak menangani perkara lain dan sedikit perkara sampai ke kejakasaan. Perkara kehutanan sedikit yang sampai ke kejaksaan</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2</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45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28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3997" w:type="dxa"/>
            <w:gridSpan w:val="3"/>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Bagian kepegawaian Pengadilan Tinggi/Pengadilan Negeri</w:t>
            </w: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BVd1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Jumlah hakim yang memiliki kualifikasi memadai di bidang </w:t>
            </w:r>
            <w:r w:rsidRPr="00DA202B">
              <w:rPr>
                <w:rFonts w:ascii="Times New Roman" w:eastAsia="Times New Roman" w:hAnsi="Times New Roman" w:cs="Times New Roman"/>
                <w:color w:val="000000"/>
                <w:sz w:val="20"/>
                <w:szCs w:val="20"/>
                <w:lang w:eastAsia="id-ID"/>
              </w:rPr>
              <w:lastRenderedPageBreak/>
              <w:t xml:space="preserve">kehutanan dan lingkungan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 xml:space="preserve">Apakah hakim yang memiliki kuali-fikasi memadai di bidang kehutan-an dan </w:t>
            </w:r>
            <w:r w:rsidRPr="00DA202B">
              <w:rPr>
                <w:rFonts w:ascii="Times New Roman" w:eastAsia="Times New Roman" w:hAnsi="Times New Roman" w:cs="Times New Roman"/>
                <w:color w:val="000000"/>
                <w:sz w:val="20"/>
                <w:szCs w:val="20"/>
                <w:lang w:eastAsia="id-ID"/>
              </w:rPr>
              <w:lastRenderedPageBreak/>
              <w:t>lingkungan jumlahnya me-madai?</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Pengadilan Negeri</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Struktur organisasi Pengadilan Negeri sekayu dan rekap kasus yang masuk dipengadilan dan yang diputuskan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Menurut informan di Pengadilan Negeri Sekayu, MUBA, baru satu Hakim yang mempunyai sertifikat hukum </w:t>
            </w:r>
            <w:r w:rsidRPr="00DA202B">
              <w:rPr>
                <w:rFonts w:ascii="Times New Roman" w:eastAsia="Times New Roman" w:hAnsi="Times New Roman" w:cs="Times New Roman"/>
                <w:color w:val="000000"/>
                <w:sz w:val="20"/>
                <w:szCs w:val="20"/>
                <w:lang w:eastAsia="id-ID"/>
              </w:rPr>
              <w:lastRenderedPageBreak/>
              <w:t>lingkungan, yakni Ketua Pengadian Negeri. Sehingga dari segi jumlah Tidak memadai</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1</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BVd2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Sertifikat/Bukti Keikutsertaan pelatihan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Pengadilan Negeri</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Struktur organisasi Pengadilan Negeri sekayu dan rekap kasus yang masuk dipengadilan dan yang diputuskan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Walaupun hanya satu Hakim, tapi dia sudah mempunyai sertifikat mulai dari TOT Hukum lingkuangan sejak tahun 2000, dan pernah juga ikut pelatihan di tahun 2004 dan 2010.  </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5</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BVd3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Pengalaman kerja dalam bidang yang terkait pidana kehutanan dan lingkungan</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Pengadilan Negeri</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Struktur organisasi Pengadilan Negeri sekayu dan rekap kasus yang masuk dipengadilan dan yang diputuskan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Pengalaman Hakim yang bertugas dalam bidang yang terkait pidana kehutanan dan lingkungan Memadai.  Pernah ikut TOT tentang Hukum lingkungan dan aktif menangani masalah lingkungan.</w:t>
            </w:r>
          </w:p>
        </w:tc>
        <w:tc>
          <w:tcPr>
            <w:tcW w:w="138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4</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34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24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Unit reskrim Polda, Unit reskrim Polres/Polresta</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BVe1</w:t>
            </w:r>
          </w:p>
        </w:tc>
        <w:tc>
          <w:tcPr>
            <w:tcW w:w="1279" w:type="dxa"/>
            <w:vMerge w:val="restart"/>
            <w:tcBorders>
              <w:top w:val="nil"/>
              <w:left w:val="single" w:sz="4" w:space="0" w:color="auto"/>
              <w:bottom w:val="single" w:sz="4" w:space="0" w:color="000000"/>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608" w:type="dxa"/>
            <w:vMerge w:val="restart"/>
            <w:tcBorders>
              <w:top w:val="nil"/>
              <w:left w:val="single" w:sz="4" w:space="0" w:color="auto"/>
              <w:bottom w:val="single" w:sz="4" w:space="0" w:color="000000"/>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Kejari</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Dokumen tidak didapatkan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1</w:t>
            </w:r>
          </w:p>
        </w:tc>
        <w:tc>
          <w:tcPr>
            <w:tcW w:w="1905" w:type="dxa"/>
            <w:tcBorders>
              <w:top w:val="nil"/>
              <w:left w:val="nil"/>
              <w:bottom w:val="nil"/>
              <w:right w:val="nil"/>
            </w:tcBorders>
            <w:shd w:val="clear" w:color="000000" w:fill="FFFF00"/>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Informan menanyakan apa maksud memadai dalam pertanyaan ini?  Sulit  untuk mengukur suatu perkara itu memadai atau tidak.  Kasus kehutanan jarang baru ada 1 kali.  Perkara kehutanan diserahkan oleh PPNS, memamng koordinasinya dengan kepolisian.  Informan juga menanyakan pengertian gelar perkara yang dimaksud dalam pertanyaan ini. </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NA</w:t>
            </w:r>
          </w:p>
        </w:tc>
      </w:tr>
      <w:tr w:rsidR="00DA202B" w:rsidRPr="00DA202B" w:rsidTr="00DA202B">
        <w:trPr>
          <w:trHeight w:val="1785"/>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000000" w:fill="F2DDDC"/>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Polres</w:t>
            </w:r>
          </w:p>
        </w:tc>
        <w:tc>
          <w:tcPr>
            <w:tcW w:w="1784" w:type="dxa"/>
            <w:tcBorders>
              <w:top w:val="nil"/>
              <w:left w:val="nil"/>
              <w:bottom w:val="single" w:sz="4" w:space="0" w:color="auto"/>
              <w:right w:val="single" w:sz="4" w:space="0" w:color="auto"/>
            </w:tcBorders>
            <w:shd w:val="clear" w:color="000000" w:fill="F2DDDC"/>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Polres belum memberikan dokumen yang diminta LP3ES dengan alasan masih harus koordinasi dengan dinas instansi terkait, namun sampai saat ini Polres belum memberikan data walaupun sudah berkali-kali ditamui</w:t>
            </w:r>
          </w:p>
        </w:tc>
        <w:tc>
          <w:tcPr>
            <w:tcW w:w="1072" w:type="dxa"/>
            <w:tcBorders>
              <w:top w:val="nil"/>
              <w:left w:val="nil"/>
              <w:bottom w:val="single" w:sz="4" w:space="0" w:color="auto"/>
              <w:right w:val="single" w:sz="4" w:space="0" w:color="auto"/>
            </w:tcBorders>
            <w:shd w:val="clear" w:color="000000" w:fill="F2DDDC"/>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c>
          <w:tcPr>
            <w:tcW w:w="1905" w:type="dxa"/>
            <w:tcBorders>
              <w:top w:val="single" w:sz="4" w:space="0" w:color="auto"/>
              <w:left w:val="nil"/>
              <w:bottom w:val="single" w:sz="4" w:space="0" w:color="auto"/>
              <w:right w:val="single" w:sz="4" w:space="0" w:color="auto"/>
            </w:tcBorders>
            <w:shd w:val="clear" w:color="000000" w:fill="F2DDDC"/>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Wawancara sedang diusahakan. Kapolres Musi Banyu Asin baru saja mengalami pergantian, dan ada jawaban untuk wawancara</w:t>
            </w:r>
          </w:p>
        </w:tc>
        <w:tc>
          <w:tcPr>
            <w:tcW w:w="1382"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w:t>
            </w:r>
          </w:p>
        </w:tc>
      </w:tr>
      <w:tr w:rsidR="00DA202B" w:rsidRPr="00DA202B" w:rsidTr="00DA202B">
        <w:trPr>
          <w:trHeight w:val="2550"/>
        </w:trPr>
        <w:tc>
          <w:tcPr>
            <w:tcW w:w="714" w:type="dxa"/>
            <w:vMerge/>
            <w:tcBorders>
              <w:top w:val="nil"/>
              <w:left w:val="single" w:sz="4" w:space="0" w:color="auto"/>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vMerge/>
            <w:tcBorders>
              <w:top w:val="nil"/>
              <w:left w:val="single" w:sz="4" w:space="0" w:color="auto"/>
              <w:bottom w:val="single" w:sz="4" w:space="0" w:color="000000"/>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Pengadilan Negeri</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Rekap kasus lingkungan yang masuk dan yang di putus</w:t>
            </w:r>
          </w:p>
        </w:tc>
        <w:tc>
          <w:tcPr>
            <w:tcW w:w="1072" w:type="dxa"/>
            <w:tcBorders>
              <w:top w:val="nil"/>
              <w:left w:val="nil"/>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3</w:t>
            </w:r>
          </w:p>
        </w:tc>
        <w:tc>
          <w:tcPr>
            <w:tcW w:w="1905" w:type="dxa"/>
            <w:tcBorders>
              <w:top w:val="nil"/>
              <w:left w:val="nil"/>
              <w:bottom w:val="single" w:sz="4" w:space="0" w:color="auto"/>
              <w:right w:val="single" w:sz="4" w:space="0" w:color="auto"/>
            </w:tcBorders>
            <w:shd w:val="clear" w:color="000000" w:fill="FFFF00"/>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Menurut informan Pertanyaan dan Kreteria tidak cocok. Pertanyaan menanyakan jumlah kasus perkara pidana kehutanan/lingkungan diputusakan oleh hakim dalam 5 tahun terakahir memadai.  Dalam skor penilaian disebutkan sangat baik bila gelar perkara dilakukan terhadap semua kasus pidana kehutanan/lingkuangan.  Gelar perekara tidak di PN, tapi di Polisi dan Kejaksaan. </w:t>
            </w:r>
          </w:p>
        </w:tc>
        <w:tc>
          <w:tcPr>
            <w:tcW w:w="1382" w:type="dxa"/>
            <w:tcBorders>
              <w:top w:val="nil"/>
              <w:left w:val="nil"/>
              <w:bottom w:val="single" w:sz="4" w:space="0" w:color="auto"/>
              <w:right w:val="single" w:sz="4" w:space="0" w:color="auto"/>
            </w:tcBorders>
            <w:shd w:val="clear" w:color="000000" w:fill="FFFF00"/>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NA</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Isu dalam PGA REDD+</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VI. Infrastruktur REDD+</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a.  Keberadaan lembaga REDD+ di Nasional dan Sub nasional</w:t>
            </w:r>
          </w:p>
        </w:tc>
      </w:tr>
      <w:tr w:rsidR="00DA202B" w:rsidRPr="00DA202B" w:rsidTr="00DA202B">
        <w:trPr>
          <w:trHeight w:val="37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Nasional: UKP4 (Satgas REDD+)</w:t>
            </w:r>
            <w:r w:rsidRPr="00DA202B">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BVIa1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Ada atau tidak adanya lembaga REDD+ di Nasional dan Sub nasional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terdapat lembaga REDD+ di Nasional dan Sub nasional?</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Tidak ada satgas REDD sehingga tidak ada wawancara yang bisa dilakukan </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BVIa2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dukungan peraturan ter-hadap lembaga REDD+ sudah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tcBorders>
              <w:top w:val="nil"/>
              <w:left w:val="nil"/>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DA202B" w:rsidRPr="00DA202B" w:rsidTr="00DA202B">
        <w:trPr>
          <w:trHeight w:val="58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lastRenderedPageBreak/>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single" w:sz="4" w:space="0" w:color="auto"/>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Nasional: UKP4 (Satgas REDD+)</w:t>
            </w:r>
            <w:r w:rsidRPr="00DA202B">
              <w:rPr>
                <w:rFonts w:ascii="Times New Roman" w:eastAsia="Times New Roman" w:hAnsi="Times New Roman" w:cs="Times New Roman"/>
                <w:b/>
                <w:bCs/>
                <w:color w:val="000000"/>
                <w:sz w:val="20"/>
                <w:szCs w:val="20"/>
                <w:lang w:eastAsia="id-ID"/>
              </w:rPr>
              <w:br/>
              <w:t xml:space="preserve">  Sub nasional: Dinas Kehutanan dan Lingkungan Hidup</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BVIb1</w:t>
            </w:r>
          </w:p>
        </w:tc>
        <w:tc>
          <w:tcPr>
            <w:tcW w:w="1279"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Ada atau tidak adanya lembaga MRV di Nasional dan Sub nasional</w:t>
            </w:r>
          </w:p>
        </w:tc>
        <w:tc>
          <w:tcPr>
            <w:tcW w:w="1608" w:type="dxa"/>
            <w:tcBorders>
              <w:top w:val="nil"/>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terdapat lembaga MRV di Nasional dan Sub nasional?</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Tidak ada satgas REDD sehingga tidak ada wawancara yang bisa dilakukan </w:t>
            </w:r>
          </w:p>
        </w:tc>
      </w:tr>
      <w:tr w:rsidR="00DA202B" w:rsidRPr="00DA202B" w:rsidTr="00DA202B">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BVIb2</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dukungan peraturan ter-hadap lembaga MRV sudah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tcBorders>
              <w:top w:val="nil"/>
              <w:left w:val="nil"/>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45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3997" w:type="dxa"/>
            <w:gridSpan w:val="3"/>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c. Keberadaan lembaga finansial di Nasional dan Sub nasional</w:t>
            </w: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Nasional: UKP4 (Satgas REDD+)</w:t>
            </w:r>
            <w:r w:rsidRPr="00DA202B">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BVIc1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Ada atau tidak adanya lembaga finansial di tingkat Nasional dan Sub nasional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terdapat lembaga finansial di tingkat Nasional dan Sub nasional?</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Tidak ada satgas REDD sehingga tidak ada wawancara yang bisa dilakukan </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BVIc2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dukungan peraturan ter-hadap lembaga finansial sudah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tcBorders>
              <w:top w:val="nil"/>
              <w:left w:val="nil"/>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45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Ketua Satgas REDD+/Pokja REDD+</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BVId1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Jumlah SDM yang memiliki ku-alifikasi memadai dalam tata kelola bidang kehutanan dan lingkungan </w:t>
            </w:r>
            <w:r w:rsidRPr="00DA202B">
              <w:rPr>
                <w:rFonts w:ascii="Times New Roman" w:eastAsia="Times New Roman" w:hAnsi="Times New Roman" w:cs="Times New Roman"/>
                <w:color w:val="000000"/>
                <w:sz w:val="20"/>
                <w:szCs w:val="20"/>
                <w:lang w:eastAsia="id-ID"/>
              </w:rPr>
              <w:lastRenderedPageBreak/>
              <w:t>hidup di tingkat Nasional dan Sub-nasional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 xml:space="preserve">Apakah SDM yang memiliki kuali-fikasi memadai dalam tata kelola bidang kehutanan dan lingkungan hidup di tingkat Nasional dan Sub-nasional </w:t>
            </w:r>
            <w:r w:rsidRPr="00DA202B">
              <w:rPr>
                <w:rFonts w:ascii="Times New Roman" w:eastAsia="Times New Roman" w:hAnsi="Times New Roman" w:cs="Times New Roman"/>
                <w:color w:val="000000"/>
                <w:sz w:val="20"/>
                <w:szCs w:val="20"/>
                <w:lang w:eastAsia="id-ID"/>
              </w:rPr>
              <w:lastRenderedPageBreak/>
              <w:t>jumlahnya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Satgas REDD+</w:t>
            </w:r>
          </w:p>
        </w:tc>
        <w:tc>
          <w:tcPr>
            <w:tcW w:w="61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Tidak ada satgas REDD sehingga tidak ada wawancara yang bisa dilakukan </w:t>
            </w:r>
          </w:p>
        </w:tc>
      </w:tr>
      <w:tr w:rsidR="00DA202B" w:rsidRPr="00DA202B" w:rsidTr="00DA202B">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BVId2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tcBorders>
              <w:top w:val="nil"/>
              <w:left w:val="nil"/>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r>
      <w:tr w:rsidR="00DA202B" w:rsidRPr="00DA202B" w:rsidTr="00DA202B">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BVId3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tcBorders>
              <w:top w:val="nil"/>
              <w:left w:val="nil"/>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5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DA202B">
              <w:rPr>
                <w:rFonts w:ascii="Times New Roman" w:eastAsia="Times New Roman" w:hAnsi="Times New Roman" w:cs="Times New Roman"/>
                <w:b/>
                <w:bCs/>
                <w:color w:val="000000"/>
                <w:sz w:val="20"/>
                <w:szCs w:val="20"/>
                <w:lang w:eastAsia="id-ID"/>
              </w:rPr>
              <w:br/>
              <w:t xml:space="preserve"> (Strategi, monitoring, lembaga)</w:t>
            </w:r>
          </w:p>
        </w:tc>
      </w:tr>
      <w:tr w:rsidR="00DA202B" w:rsidRPr="00DA202B" w:rsidTr="00DA202B">
        <w:trPr>
          <w:trHeight w:val="36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single" w:sz="4" w:space="0" w:color="auto"/>
              <w:right w:val="nil"/>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Nasional: Ketua Satgas REDD+</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BVIe1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tcBorders>
              <w:top w:val="single" w:sz="4" w:space="0" w:color="auto"/>
              <w:left w:val="nil"/>
              <w:bottom w:val="single" w:sz="4" w:space="0" w:color="auto"/>
              <w:right w:val="single" w:sz="4" w:space="0" w:color="000000"/>
            </w:tcBorders>
            <w:shd w:val="clear" w:color="000000" w:fill="F2DDDC"/>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Tidak ada satgas REDD sehingga tidak ada wawancara yang bisa dilakukan </w:t>
            </w: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45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5902" w:type="dxa"/>
            <w:gridSpan w:val="4"/>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70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single" w:sz="4" w:space="0" w:color="auto"/>
              <w:right w:val="nil"/>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:Nasional: UKP4 (Satgas REDD+)</w:t>
            </w:r>
            <w:r w:rsidRPr="00DA202B">
              <w:rPr>
                <w:rFonts w:ascii="Times New Roman" w:eastAsia="Times New Roman" w:hAnsi="Times New Roman" w:cs="Times New Roman"/>
                <w:b/>
                <w:bCs/>
                <w:color w:val="000000"/>
                <w:sz w:val="20"/>
                <w:szCs w:val="20"/>
                <w:lang w:eastAsia="id-ID"/>
              </w:rPr>
              <w:br/>
              <w:t xml:space="preserve">  Sub nasional: Dinas Kehutanan dan Lingkungan Hidup</w:t>
            </w: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BVIf1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Ada atau tidak adanya kerangka pengaman di tingkat Nasional dan </w:t>
            </w:r>
            <w:r w:rsidRPr="00DA202B">
              <w:rPr>
                <w:rFonts w:ascii="Times New Roman" w:eastAsia="Times New Roman" w:hAnsi="Times New Roman" w:cs="Times New Roman"/>
                <w:color w:val="000000"/>
                <w:sz w:val="20"/>
                <w:szCs w:val="20"/>
                <w:lang w:eastAsia="id-ID"/>
              </w:rPr>
              <w:lastRenderedPageBreak/>
              <w:t>Sub nasional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Apakah terdapat kerangka pengaman di tingkat Nasional dan Sub nasional?</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Tidak ada satgas REDD sehingga tidak ada wawancara yang bisa dilakukan </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lastRenderedPageBreak/>
              <w:t>BVIf2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dukungan peraturan ter-hadap kerangka pengaman sudah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tcBorders>
              <w:top w:val="nil"/>
              <w:left w:val="nil"/>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r>
      <w:tr w:rsidR="00DA202B" w:rsidRPr="00DA202B" w:rsidTr="00DA202B">
        <w:trPr>
          <w:trHeight w:val="255"/>
        </w:trPr>
        <w:tc>
          <w:tcPr>
            <w:tcW w:w="71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279"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608"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141"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784"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c>
          <w:tcPr>
            <w:tcW w:w="1905" w:type="dxa"/>
            <w:tcBorders>
              <w:top w:val="nil"/>
              <w:left w:val="nil"/>
              <w:bottom w:val="nil"/>
              <w:right w:val="nil"/>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p>
        </w:tc>
      </w:tr>
      <w:tr w:rsidR="00DA202B" w:rsidRPr="00DA202B" w:rsidTr="00DA202B">
        <w:trPr>
          <w:trHeight w:val="690"/>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Indikator</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7284" w:type="dxa"/>
            <w:gridSpan w:val="5"/>
            <w:tcBorders>
              <w:top w:val="nil"/>
              <w:left w:val="nil"/>
              <w:bottom w:val="nil"/>
              <w:right w:val="nil"/>
            </w:tcBorders>
            <w:shd w:val="clear" w:color="auto" w:fill="auto"/>
            <w:vAlign w:val="center"/>
            <w:hideMark/>
          </w:tcPr>
          <w:p w:rsidR="00DA202B" w:rsidRPr="00DA202B" w:rsidRDefault="00DA202B" w:rsidP="00DA202B">
            <w:pPr>
              <w:spacing w:after="24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DA202B">
              <w:rPr>
                <w:rFonts w:ascii="Times New Roman" w:eastAsia="Times New Roman" w:hAnsi="Times New Roman" w:cs="Times New Roman"/>
                <w:b/>
                <w:bCs/>
                <w:color w:val="000000"/>
                <w:sz w:val="20"/>
                <w:szCs w:val="20"/>
                <w:lang w:eastAsia="id-ID"/>
              </w:rPr>
              <w:br/>
              <w:t xml:space="preserve">  akibat pembagian hasil REDD+</w:t>
            </w:r>
          </w:p>
        </w:tc>
      </w:tr>
      <w:tr w:rsidR="00DA202B" w:rsidRPr="00DA202B" w:rsidTr="00DA202B">
        <w:trPr>
          <w:trHeight w:val="255"/>
        </w:trPr>
        <w:tc>
          <w:tcPr>
            <w:tcW w:w="1993"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Wawancara - Sumber informasi</w:t>
            </w:r>
          </w:p>
        </w:tc>
        <w:tc>
          <w:tcPr>
            <w:tcW w:w="1608"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2925" w:type="dxa"/>
            <w:gridSpan w:val="2"/>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 Ketua Satgas REDD+/Pokja REDD+</w:t>
            </w:r>
          </w:p>
        </w:tc>
        <w:tc>
          <w:tcPr>
            <w:tcW w:w="107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905"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p>
        </w:tc>
      </w:tr>
      <w:tr w:rsidR="00DA202B" w:rsidRPr="00DA202B" w:rsidTr="00DA202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Kode</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Panduan Analisis Dokumen</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Pertanyaan Wawancara</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Sumber Data</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Dokumen</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Dokumen</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jc w:val="center"/>
              <w:rPr>
                <w:rFonts w:ascii="Times New Roman" w:eastAsia="Times New Roman" w:hAnsi="Times New Roman" w:cs="Times New Roman"/>
                <w:b/>
                <w:bCs/>
                <w:color w:val="000000"/>
                <w:sz w:val="20"/>
                <w:szCs w:val="20"/>
                <w:lang w:eastAsia="id-ID"/>
              </w:rPr>
            </w:pPr>
            <w:r w:rsidRPr="00DA202B">
              <w:rPr>
                <w:rFonts w:ascii="Times New Roman" w:eastAsia="Times New Roman" w:hAnsi="Times New Roman" w:cs="Times New Roman"/>
                <w:b/>
                <w:bCs/>
                <w:color w:val="000000"/>
                <w:sz w:val="20"/>
                <w:szCs w:val="20"/>
                <w:lang w:eastAsia="id-ID"/>
              </w:rPr>
              <w:t>Kategori Data Wawancara</w:t>
            </w:r>
          </w:p>
        </w:tc>
      </w:tr>
      <w:tr w:rsidR="00DA202B" w:rsidRPr="00DA202B" w:rsidTr="00DA202B">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BVIg1</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Tidak ada satgas REDD sehingga tidak ada wawancara yang bisa dilakukan </w:t>
            </w:r>
          </w:p>
        </w:tc>
      </w:tr>
      <w:tr w:rsidR="00DA202B" w:rsidRPr="00DA202B" w:rsidTr="00DA202B">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BVIg2</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Sertifikat/Bukti Keikutsertaan pelatihan mediasi konflik pembagian hasil REDD+</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tcBorders>
              <w:top w:val="nil"/>
              <w:left w:val="nil"/>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r>
      <w:tr w:rsidR="00DA202B" w:rsidRPr="00DA202B" w:rsidTr="00DA202B">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BVIg3</w:t>
            </w:r>
          </w:p>
        </w:tc>
        <w:tc>
          <w:tcPr>
            <w:tcW w:w="1279"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 xml:space="preserve">Pengalaman kerja dalam medi-asi konflik pembagian hasil REDD+ </w:t>
            </w:r>
          </w:p>
        </w:tc>
        <w:tc>
          <w:tcPr>
            <w:tcW w:w="1608" w:type="dxa"/>
            <w:tcBorders>
              <w:top w:val="nil"/>
              <w:left w:val="nil"/>
              <w:bottom w:val="single" w:sz="4" w:space="0" w:color="auto"/>
              <w:right w:val="single" w:sz="4" w:space="0" w:color="auto"/>
            </w:tcBorders>
            <w:shd w:val="clear" w:color="auto" w:fill="auto"/>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41" w:type="dxa"/>
            <w:tcBorders>
              <w:top w:val="nil"/>
              <w:left w:val="nil"/>
              <w:bottom w:val="single" w:sz="4" w:space="0" w:color="auto"/>
              <w:right w:val="single" w:sz="4" w:space="0" w:color="auto"/>
            </w:tcBorders>
            <w:shd w:val="clear" w:color="000000" w:fill="F2DDDC"/>
            <w:noWrap/>
            <w:vAlign w:val="center"/>
            <w:hideMark/>
          </w:tcPr>
          <w:p w:rsidR="00DA202B" w:rsidRPr="00DA202B" w:rsidRDefault="00DA202B" w:rsidP="00DA202B">
            <w:pPr>
              <w:spacing w:after="0" w:line="240" w:lineRule="auto"/>
              <w:jc w:val="center"/>
              <w:rPr>
                <w:rFonts w:ascii="Times New Roman" w:eastAsia="Times New Roman" w:hAnsi="Times New Roman" w:cs="Times New Roman"/>
                <w:color w:val="000000"/>
                <w:sz w:val="20"/>
                <w:szCs w:val="20"/>
                <w:lang w:eastAsia="id-ID"/>
              </w:rPr>
            </w:pPr>
            <w:r w:rsidRPr="00DA202B">
              <w:rPr>
                <w:rFonts w:ascii="Times New Roman" w:eastAsia="Times New Roman" w:hAnsi="Times New Roman" w:cs="Times New Roman"/>
                <w:color w:val="000000"/>
                <w:sz w:val="20"/>
                <w:szCs w:val="20"/>
                <w:lang w:eastAsia="id-ID"/>
              </w:rPr>
              <w:t>Satgas REDD+</w:t>
            </w:r>
          </w:p>
        </w:tc>
        <w:tc>
          <w:tcPr>
            <w:tcW w:w="6143" w:type="dxa"/>
            <w:gridSpan w:val="4"/>
            <w:vMerge/>
            <w:tcBorders>
              <w:top w:val="nil"/>
              <w:left w:val="nil"/>
              <w:bottom w:val="single" w:sz="4" w:space="0" w:color="auto"/>
              <w:right w:val="single" w:sz="4" w:space="0" w:color="auto"/>
            </w:tcBorders>
            <w:vAlign w:val="center"/>
            <w:hideMark/>
          </w:tcPr>
          <w:p w:rsidR="00DA202B" w:rsidRPr="00DA202B" w:rsidRDefault="00DA202B" w:rsidP="00DA202B">
            <w:pPr>
              <w:spacing w:after="0" w:line="240" w:lineRule="auto"/>
              <w:rPr>
                <w:rFonts w:ascii="Times New Roman" w:eastAsia="Times New Roman" w:hAnsi="Times New Roman" w:cs="Times New Roman"/>
                <w:color w:val="000000"/>
                <w:sz w:val="20"/>
                <w:szCs w:val="20"/>
                <w:lang w:eastAsia="id-ID"/>
              </w:rPr>
            </w:pPr>
          </w:p>
        </w:tc>
      </w:tr>
    </w:tbl>
    <w:p w:rsidR="00DA202B" w:rsidRDefault="00DA202B"/>
    <w:sectPr w:rsidR="00DA202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6E5970"/>
    <w:rsid w:val="009F3E98"/>
    <w:rsid w:val="00A91768"/>
    <w:rsid w:val="00BB5203"/>
    <w:rsid w:val="00D74DB4"/>
    <w:rsid w:val="00DA202B"/>
    <w:rsid w:val="00EE41D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DA202B"/>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DA202B"/>
    <w:pPr>
      <w:spacing w:before="100" w:beforeAutospacing="1" w:after="100" w:afterAutospacing="1" w:line="240" w:lineRule="auto"/>
    </w:pPr>
    <w:rPr>
      <w:rFonts w:ascii="Times New Roman" w:eastAsia="Times New Roman" w:hAnsi="Times New Roman" w:cs="Times New Roman"/>
      <w:color w:val="993300"/>
      <w:sz w:val="20"/>
      <w:szCs w:val="20"/>
      <w:lang w:eastAsia="id-ID"/>
    </w:rPr>
  </w:style>
  <w:style w:type="paragraph" w:customStyle="1" w:styleId="xl111">
    <w:name w:val="xl111"/>
    <w:basedOn w:val="Normal"/>
    <w:rsid w:val="00DA202B"/>
    <w:pPr>
      <w:pBdr>
        <w:top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2">
    <w:name w:val="xl112"/>
    <w:basedOn w:val="Normal"/>
    <w:rsid w:val="00DA202B"/>
    <w:pPr>
      <w:pBdr>
        <w:top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3">
    <w:name w:val="xl113"/>
    <w:basedOn w:val="Normal"/>
    <w:rsid w:val="00DA202B"/>
    <w:pPr>
      <w:pBdr>
        <w:left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4">
    <w:name w:val="xl114"/>
    <w:basedOn w:val="Normal"/>
    <w:rsid w:val="00DA202B"/>
    <w:pPr>
      <w:pBdr>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5">
    <w:name w:val="xl115"/>
    <w:basedOn w:val="Normal"/>
    <w:rsid w:val="00DA202B"/>
    <w:pPr>
      <w:pBdr>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6">
    <w:name w:val="xl116"/>
    <w:basedOn w:val="Normal"/>
    <w:rsid w:val="00DA202B"/>
    <w:pPr>
      <w:pBdr>
        <w:top w:val="single" w:sz="4" w:space="0" w:color="auto"/>
        <w:left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7">
    <w:name w:val="xl117"/>
    <w:basedOn w:val="Normal"/>
    <w:rsid w:val="00DA202B"/>
    <w:pPr>
      <w:pBdr>
        <w:left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8">
    <w:name w:val="xl118"/>
    <w:basedOn w:val="Normal"/>
    <w:rsid w:val="00DA202B"/>
    <w:pPr>
      <w:pBdr>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9">
    <w:name w:val="xl119"/>
    <w:basedOn w:val="Normal"/>
    <w:rsid w:val="00DA202B"/>
    <w:pPr>
      <w:pBdr>
        <w:top w:val="single" w:sz="4" w:space="0" w:color="auto"/>
        <w:lef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0">
    <w:name w:val="xl120"/>
    <w:basedOn w:val="Normal"/>
    <w:rsid w:val="00DA202B"/>
    <w:pPr>
      <w:pBdr>
        <w:top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1">
    <w:name w:val="xl121"/>
    <w:basedOn w:val="Normal"/>
    <w:rsid w:val="00DA202B"/>
    <w:pPr>
      <w:pBdr>
        <w:top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2">
    <w:name w:val="xl122"/>
    <w:basedOn w:val="Normal"/>
    <w:rsid w:val="00DA202B"/>
    <w:pPr>
      <w:pBdr>
        <w:lef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3">
    <w:name w:val="xl123"/>
    <w:basedOn w:val="Normal"/>
    <w:rsid w:val="00DA202B"/>
    <w:pP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4">
    <w:name w:val="xl124"/>
    <w:basedOn w:val="Normal"/>
    <w:rsid w:val="00DA202B"/>
    <w:pPr>
      <w:pBdr>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5">
    <w:name w:val="xl125"/>
    <w:basedOn w:val="Normal"/>
    <w:rsid w:val="00DA202B"/>
    <w:pPr>
      <w:pBdr>
        <w:left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6">
    <w:name w:val="xl126"/>
    <w:basedOn w:val="Normal"/>
    <w:rsid w:val="00DA202B"/>
    <w:pPr>
      <w:pBdr>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7">
    <w:name w:val="xl127"/>
    <w:basedOn w:val="Normal"/>
    <w:rsid w:val="00DA202B"/>
    <w:pPr>
      <w:pBdr>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8">
    <w:name w:val="xl128"/>
    <w:basedOn w:val="Normal"/>
    <w:rsid w:val="00DA202B"/>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9">
    <w:name w:val="xl129"/>
    <w:basedOn w:val="Normal"/>
    <w:rsid w:val="00DA202B"/>
    <w:pPr>
      <w:pBdr>
        <w:top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30">
    <w:name w:val="xl130"/>
    <w:basedOn w:val="Normal"/>
    <w:rsid w:val="00DA202B"/>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31">
    <w:name w:val="xl131"/>
    <w:basedOn w:val="Normal"/>
    <w:rsid w:val="00DA202B"/>
    <w:pPr>
      <w:pBdr>
        <w:top w:val="single" w:sz="4" w:space="0" w:color="auto"/>
        <w:left w:val="single" w:sz="4" w:space="0" w:color="auto"/>
        <w:right w:val="single" w:sz="4" w:space="0" w:color="auto"/>
      </w:pBdr>
      <w:shd w:val="clear" w:color="000000" w:fill="F2DDDC"/>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32">
    <w:name w:val="xl132"/>
    <w:basedOn w:val="Normal"/>
    <w:rsid w:val="00DA202B"/>
    <w:pPr>
      <w:pBdr>
        <w:left w:val="single" w:sz="4" w:space="0" w:color="auto"/>
        <w:bottom w:val="single" w:sz="4" w:space="0" w:color="auto"/>
        <w:right w:val="single" w:sz="4" w:space="0" w:color="auto"/>
      </w:pBdr>
      <w:shd w:val="clear" w:color="000000" w:fill="F2DDDC"/>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33">
    <w:name w:val="xl133"/>
    <w:basedOn w:val="Normal"/>
    <w:rsid w:val="00DA202B"/>
    <w:pPr>
      <w:pBdr>
        <w:left w:val="single" w:sz="4" w:space="0" w:color="auto"/>
        <w:right w:val="single" w:sz="4" w:space="0" w:color="auto"/>
      </w:pBdr>
      <w:shd w:val="clear" w:color="000000" w:fill="F2DDDC"/>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048989774">
      <w:bodyDiv w:val="1"/>
      <w:marLeft w:val="0"/>
      <w:marRight w:val="0"/>
      <w:marTop w:val="0"/>
      <w:marBottom w:val="0"/>
      <w:divBdr>
        <w:top w:val="none" w:sz="0" w:space="0" w:color="auto"/>
        <w:left w:val="none" w:sz="0" w:space="0" w:color="auto"/>
        <w:bottom w:val="none" w:sz="0" w:space="0" w:color="auto"/>
        <w:right w:val="none" w:sz="0" w:space="0" w:color="auto"/>
      </w:divBdr>
    </w:div>
    <w:div w:id="212757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23</Pages>
  <Words>6457</Words>
  <Characters>36809</Characters>
  <Application>Microsoft Office Word</Application>
  <DocSecurity>0</DocSecurity>
  <Lines>306</Lines>
  <Paragraphs>86</Paragraphs>
  <ScaleCrop>false</ScaleCrop>
  <Company/>
  <LinksUpToDate>false</LinksUpToDate>
  <CharactersWithSpaces>43180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2012-10-16T06:52:00Z</dcterms:modified>
</cp:coreProperties>
</file>